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  <w:r>
        <w:rPr>
          <w:rFonts w:hint="eastAsia" w:ascii="黑体" w:hAnsi="华文宋体" w:eastAsia="黑体" w:cs="华文宋体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-697230</wp:posOffset>
            </wp:positionV>
            <wp:extent cx="7519035" cy="10579100"/>
            <wp:effectExtent l="0" t="0" r="9525" b="12700"/>
            <wp:wrapThrough wrapText="bothSides">
              <wp:wrapPolygon>
                <wp:start x="0" y="0"/>
                <wp:lineTo x="0" y="21564"/>
                <wp:lineTo x="21540" y="21564"/>
                <wp:lineTo x="21540" y="0"/>
                <wp:lineTo x="0" y="0"/>
              </wp:wrapPolygon>
            </wp:wrapThrough>
            <wp:docPr id="1" name="图片 1" descr="建设工程分会1号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建设工程分会1号_00"/>
                    <pic:cNvPicPr>
                      <a:picLocks noChangeAspect="1"/>
                    </pic:cNvPicPr>
                  </pic:nvPicPr>
                  <pic:blipFill>
                    <a:blip r:embed="rId6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035" cy="1057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  <w:r>
        <w:rPr>
          <w:rFonts w:hint="eastAsia" w:ascii="黑体" w:hAnsi="华文宋体" w:eastAsia="黑体" w:cs="华文宋体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-935990</wp:posOffset>
            </wp:positionH>
            <wp:positionV relativeFrom="paragraph">
              <wp:posOffset>-679450</wp:posOffset>
            </wp:positionV>
            <wp:extent cx="7562850" cy="10629265"/>
            <wp:effectExtent l="0" t="0" r="11430" b="8255"/>
            <wp:wrapThrough wrapText="bothSides">
              <wp:wrapPolygon>
                <wp:start x="0" y="0"/>
                <wp:lineTo x="0" y="21555"/>
                <wp:lineTo x="21546" y="21555"/>
                <wp:lineTo x="21546" y="0"/>
                <wp:lineTo x="0" y="0"/>
              </wp:wrapPolygon>
            </wp:wrapThrough>
            <wp:docPr id="2" name="图片 2" descr="建设工程分会1号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建设工程分会1号_01"/>
                    <pic:cNvPicPr>
                      <a:picLocks noChangeAspect="1"/>
                    </pic:cNvPicPr>
                  </pic:nvPicPr>
                  <pic:blipFill>
                    <a:blip r:embed="rId7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2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  <w:r>
        <w:rPr>
          <w:rFonts w:hint="eastAsia" w:ascii="黑体" w:hAnsi="华文宋体" w:eastAsia="黑体" w:cs="华文宋体"/>
          <w:b/>
          <w:color w:val="000000"/>
          <w:sz w:val="32"/>
          <w:szCs w:val="32"/>
        </w:rPr>
        <w:t>附件1: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  <w:r>
        <w:rPr>
          <w:rFonts w:hint="eastAsia" w:ascii="黑体" w:hAnsi="华文宋体" w:eastAsia="黑体" w:cs="华文宋体"/>
          <w:b/>
          <w:color w:val="000000"/>
          <w:sz w:val="32"/>
          <w:szCs w:val="32"/>
        </w:rPr>
        <w:t xml:space="preserve">                     培 训 须 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培训内容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280" w:firstLineChars="100"/>
        <w:jc w:val="left"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第一部分：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新形势下业主方项目管理难点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重点风险防范及投资控制能力提升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  <w:t>（一）工程建设项目全生命期及新形势下项目管理模式再认识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1.工程建设项目生命期/寿命期；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2.项目的分级分类管理；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3.立项与决策过程管理；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4.项目管理模式选择及风险防范；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5.项目启动与策划管理；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6.招标策划及风险防范；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7.合同签订及风险防范；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8.设计管理及风险防范；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9.施工过程监控管理及风险防范；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10.项目试运行及验收管理及风险防范；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11.项目收尾管理及风险防范；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12.项目准备及实施过程管控；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13.项目验收及收尾管控；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14.业主方项目管理角色地位及困惑；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15.新时期工程建设项目管理发展方向。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  <w:t>（二）业主方项目管理难点重点之项目总控管理能力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1.提升项目投资决策能力；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2.适应性的组织变革，提高项目总控管理能力；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3.强化项目总体策划能力，提高项目投资管控能力；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4.强化项目范围管理意识，提高项目投资管控能力；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5.科学制定项目计划提高项目投资管控能力；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6.强化项目过程监控提高项目投资管控能力案例分享；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7.强化项目风险管控意识提高项目投资管控能力案例分享；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8.提升新技术应用能力提高项目投资管控能力案例分享。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  <w:t>（三）业主方工程项目现场管理及风险防范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1.策划及其风险考虑；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2.目标及控制流程的识别与确定；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3.不同管理模式的选择方法；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4.规划与项目配套策划；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5.技术质量监控管理思路方法；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6.开工前，建设单位的主要工作及注意事项；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7.现场管理平面布置与风险防范；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8.招标、合同履约与工程结算的集成管理；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9.施工图纸、工程量清单与施工技术文件风险的规避方法；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10.工程质量、安全、进度、环境、造价管理的集成化方法；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11.工程反索赔、签证、变更、合理化建议的综合管理；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12.工程项目质量、安全、环境、进度的监督方式；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13.工程验收与工程结算实施的风险考虑；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14.工程正面风险的利用与负面风险的规避方法；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15.项目标准化管理、信息管理与综合管理的集成；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16.施工现场管理与项目知识管理提升。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28"/>
          <w:szCs w:val="28"/>
          <w:lang w:val="en-US" w:eastAsia="zh-CN"/>
        </w:rPr>
        <w:t>（四）业主方项目管理难点重点之全过程工程咨询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1.全过程工程咨询相关政策解读；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2.投资决策综合性咨询及案例分享；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3.全过程工程咨询服务模式和内容？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4.建设项目管理总流程及主要工作内容；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5.全过程工程咨询会影响哪些企业业务？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6.设计究竟属于哪一方？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7.全过程工程咨询服务如何收费？案例分享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8.全过程工程咨询服务必须招标吗？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9.全过程工程咨询服务合同？案例分享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10.咨询项目委托人义务？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11.全过程工程咨询项目组织方式？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12.咨询项目总负责人；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13.联合体/转让服务？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14.服务费用约定？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15.全过程工程咨询服务合同先后次序？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16.全过程工程咨询1+N的探讨？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第二部分：新形势下EPC工程总承包项目全过程管控实践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（一）EPC工程总承包相关政策解读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1.新版《建设项目工程总承包合同（示范文本）》主要条款解读；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2.《房屋建筑和市政基础设施项目工程总承包管理办法》主要条款解读；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3.国标《建设工程项目管理规范》（GB/T50326-2017）及《建设项目工程总承包管理规范》GB/T50358-2017）介绍；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4.《建设工程工程量清单计价标准》和《建筑工程施工发包与承包计价管理办法》（征求意见稿）介绍；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中国建设工程造价管理协会组织制定的团体标准《建设工程总承包计价规范》、《房屋工程总承包工程量计算规范》、《市政工程总承包工程量计算规范》、《城市轨道交通工程总承包工程量计算规范》征求意见稿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介绍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6.“新基建”项目实施+工程总承包模式法律问题解析；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7.《民法典》实施对建设工程各方实体权利的调整。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（二）EPC工程总承包项目全过程管理实践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1.国内外EPC总承包项目管理发展趋势及项目交付的趋势（ BIM及数字化交付；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①BIM与数字化交付对于工程总承包的意义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②BIM与工程总承包数字化交付项目应用实例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2.工程总承包主要模式适用的项目类型及特点（包括政府投资与企业投资项目的异同）；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3.项目主要相关方职责与工作界面；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4.项目管理流程及管控要点；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5.决策阶段的管控要点（包括投资决策和招投标阶段）；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6.项目启动、策划阶段管控要点；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7.项目勘察设计阶段管控要点；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8.项目采购阶段管控要点；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9.项目施工、试运行阶段管控要点；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10.项目收尾及关闭、移交阶段的管控要点；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11.联合体与总分包的管控要点。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（三）EPC工程总承包项目招投标策划与风险防范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1.EPC总承包、分包相关招投标政策解读；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2.EPC项目对甲乙双方固有风险及管理重点；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3.项目核心要求招标指标与系统招标要求的策划；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4.项目前期咨询与招标文件策划；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5.EPC总承包与施工总承包项目招标文件的异同；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6.EPC总承包与施工总承包项目不同合同模式的优缺点；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7.EPC总承包与施工总承包评标的要点及建议；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8.投标方案的确定与文件的编制注意事项；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9.合同包干模式招标策划；</w:t>
      </w:r>
    </w:p>
    <w:p>
      <w:pPr>
        <w:pStyle w:val="17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10.必须招标项目采用EPC总承包可否直接发包。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（四）EPC工程总承包合同核心风险识别与防范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1.合同及联合体合同的起草注意点及案例分享；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2.合同策划与重点条款的设置；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3.合同核心风险识别与防范；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4.招标与投标、评标、中标后开工前主要工作及合同管理工作重点；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5.合同谈判策略及风险关注要点；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6.发包、专业发包、分包阶段合同风险识别防范；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7.EPC合同实施阶段履约风险和风险控制；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8.工程变更、索赔技巧与风险控制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9.税务风险及防范措施；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10.合同实施典型案例分析。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（五）EPC工程投资控制、结算与审计管理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1.EPC工程范围确定依据计注意事项；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2.EPC合同文件优先次序确定的重要性；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3.EPC合同定价、执行与结算管理；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4.工程变更与EPC合同价的调整；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5.EPC工程移交及审计。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（六）EPC工程总承包项目现场质量安全管理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1.新政对开工及许可证要求？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2.新政对质量安全及进度管理要求？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3.现场HSE管理意识及国际国内差异？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4.新政工程质量安全责任；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5.重大质量安全事故处理带来的反思；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6.EPC合同文件优先次序？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7.工程变更如何调整EPC总价？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8.EPC签证变更程序及控制要点；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9.EPC项目合同价格与支付；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10.EPC项目市场价格波动引起的调整；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11.增量工程带来的思考？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12.业主图纸出错导致的返工能索赔吗？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13.清单问题能索赔吗？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>、培训对象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-SA"/>
        </w:rPr>
        <w:t>各地方政府、企业建设管理、城市规划、工程设计、工程施工、工程监理、工程造价、工程咨询、计划财务等单位管理人员。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、授课专家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拟聘请国家发改委、住建部、行业协会等参与</w:t>
      </w:r>
      <w:r>
        <w:rPr>
          <w:rFonts w:hint="eastAsia" w:ascii="仿宋" w:hAnsi="仿宋" w:eastAsia="仿宋" w:cs="仿宋"/>
          <w:bCs/>
          <w:sz w:val="28"/>
          <w:szCs w:val="28"/>
        </w:rPr>
        <w:t>政策制定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文件编写</w:t>
      </w:r>
      <w:r>
        <w:rPr>
          <w:rFonts w:hint="eastAsia" w:ascii="仿宋" w:hAnsi="仿宋" w:eastAsia="仿宋" w:cs="仿宋"/>
          <w:bCs/>
          <w:sz w:val="28"/>
          <w:szCs w:val="28"/>
        </w:rPr>
        <w:t>，且具有较深理论和实践经验的专家结合亟待解决的热点问题、经典案例，进行全面、系统、深入的讲解和研讨。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28"/>
          <w:szCs w:val="28"/>
          <w:lang w:val="en-US" w:eastAsia="zh-CN" w:bidi="zh-CN"/>
        </w:rPr>
        <w:t>线上课程安排：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第一天：上午9:00—12:00，下午14:00—17:30；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第二天：上午9:00—12:00，下午14:00—17:30。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楷体" w:hAnsi="楷体" w:eastAsia="楷体" w:cs="楷体"/>
          <w:bCs/>
          <w:color w:val="000000"/>
          <w:kern w:val="0"/>
          <w:sz w:val="28"/>
          <w:szCs w:val="28"/>
          <w:lang w:val="en-US" w:eastAsia="zh-CN" w:bidi="zh-CN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28"/>
          <w:szCs w:val="28"/>
          <w:lang w:val="en-US" w:eastAsia="zh-CN" w:bidi="zh-CN"/>
        </w:rPr>
        <w:t>线下课程安排：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年0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日—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日（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 xml:space="preserve">日报到）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地点：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长沙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年0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日—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日（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 xml:space="preserve">日报到）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地点：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青岛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年0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日—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日（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 xml:space="preserve">日报到）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地点：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北京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年0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日—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07月04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日（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日报到）地点：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昆明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相关事宜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t>A.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1980</w:t>
      </w: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t>元/人（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含：线上网课、师资、电子课件等</w:t>
      </w: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B</w:t>
      </w: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3600</w:t>
      </w: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t>元/人（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含：线上网课、师资、电子课件、线下名额1个长期有效、茶歇、午餐、结业证书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等</w:t>
      </w: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t>），住宿统一安排，费用自理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C</w:t>
      </w:r>
      <w:r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9800元/单位（含15个学习账号，线下培训名额1个长期有效）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D.12800元/单位（线上网课不限账号数量支持多人观看，含线下培训名额2个长期有效）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六、报名</w:t>
      </w:r>
      <w:r>
        <w:rPr>
          <w:rFonts w:hint="eastAsia" w:ascii="黑体" w:hAnsi="黑体" w:eastAsia="黑体" w:cs="黑体"/>
          <w:sz w:val="28"/>
          <w:szCs w:val="28"/>
        </w:rPr>
        <w:t>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联系人：张旭               电 话：18211166904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传  真：010-58872916       邮 箱：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instrText xml:space="preserve"> HYPERLINK "mailto:459907173@qq.com" </w:instrTex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2846141911@qq.com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fldChar w:fldCharType="end"/>
      </w:r>
    </w:p>
    <w:p>
      <w:pPr>
        <w:pStyle w:val="2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</w:p>
    <w:p>
      <w:pPr>
        <w:widowControl/>
        <w:spacing w:line="398" w:lineRule="exact"/>
        <w:jc w:val="both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</w:p>
    <w:p>
      <w:pPr>
        <w:widowControl/>
        <w:spacing w:line="398" w:lineRule="exact"/>
        <w:jc w:val="both"/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附</w:t>
      </w:r>
      <w:r>
        <w:rPr>
          <w:rFonts w:hint="eastAsia" w:ascii="黑体" w:hAnsi="黑体" w:eastAsia="黑体" w:cs="黑体"/>
          <w:b/>
          <w:sz w:val="30"/>
          <w:szCs w:val="30"/>
        </w:rPr>
        <w:t xml:space="preserve">件2:  </w:t>
      </w:r>
    </w:p>
    <w:p>
      <w:pPr>
        <w:adjustRightInd w:val="0"/>
        <w:snapToGrid w:val="0"/>
        <w:spacing w:line="400" w:lineRule="exact"/>
        <w:jc w:val="center"/>
        <w:rPr>
          <w:rStyle w:val="10"/>
          <w:rFonts w:hint="eastAsia" w:ascii="黑体" w:hAnsi="黑体" w:eastAsia="黑体" w:cs="黑体"/>
          <w:color w:val="000000"/>
          <w:sz w:val="30"/>
          <w:szCs w:val="30"/>
          <w:lang w:val="zh-CN"/>
        </w:rPr>
      </w:pPr>
      <w:r>
        <w:rPr>
          <w:rStyle w:val="10"/>
          <w:rFonts w:hint="eastAsia" w:ascii="黑体" w:hAnsi="黑体" w:eastAsia="黑体" w:cs="黑体"/>
          <w:color w:val="000000"/>
          <w:sz w:val="30"/>
          <w:szCs w:val="30"/>
          <w:lang w:val="zh-CN"/>
        </w:rPr>
        <w:t>“新形势下业主方项目总控管理与EPC工程总承包项目管理实践</w:t>
      </w:r>
    </w:p>
    <w:p>
      <w:pPr>
        <w:adjustRightInd w:val="0"/>
        <w:snapToGrid w:val="0"/>
        <w:spacing w:line="400" w:lineRule="exact"/>
        <w:jc w:val="center"/>
        <w:rPr>
          <w:rStyle w:val="10"/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Style w:val="10"/>
          <w:rFonts w:hint="eastAsia" w:ascii="黑体" w:hAnsi="黑体" w:eastAsia="黑体" w:cs="黑体"/>
          <w:color w:val="000000"/>
          <w:sz w:val="30"/>
          <w:szCs w:val="30"/>
          <w:lang w:val="zh-CN"/>
        </w:rPr>
        <w:t>及风险控制专题培训班”报名回执表</w:t>
      </w:r>
    </w:p>
    <w:tbl>
      <w:tblPr>
        <w:tblStyle w:val="8"/>
        <w:tblpPr w:leftFromText="180" w:rightFromText="180" w:vertAnchor="text" w:horzAnchor="margin" w:tblpXSpec="center" w:tblpY="70"/>
        <w:tblW w:w="10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552"/>
        <w:gridCol w:w="824"/>
        <w:gridCol w:w="907"/>
        <w:gridCol w:w="1125"/>
        <w:gridCol w:w="1290"/>
        <w:gridCol w:w="738"/>
        <w:gridCol w:w="627"/>
        <w:gridCol w:w="206"/>
        <w:gridCol w:w="428"/>
        <w:gridCol w:w="168"/>
        <w:gridCol w:w="188"/>
        <w:gridCol w:w="622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6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审批人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参会人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  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 机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住宿安排</w:t>
            </w: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□单住 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  □自行</w:t>
            </w: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发票类型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增值税专用发票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增值税普票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开票单位：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纳税人识别号：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地址及电话：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开户行及账号：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您关注或亟待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解决的问题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课程选项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GB"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/>
              </w:rPr>
              <w:t>1980元/人   B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GB"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/>
              </w:rPr>
              <w:t>3600元/人   C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GB"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/>
              </w:rPr>
              <w:t>9800元/人   D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GB"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/>
              </w:rPr>
              <w:t>12800元/单位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4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□汇款  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支付宝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微信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金额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收款账户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户  名：北京众合至诚咨询有限公司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开户行：中国工商银行股份有限公司北京永定路支行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账  号：0200 0049 0920 0503 070（行  号：1021 0000 0499）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57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请将《报名回执表》回传至会务组，并在报名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3日内办理培训费用，会务组确认到款后即发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报到通知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》，详细说明培训班具体安排事项。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60" w:lineRule="exact"/>
              <w:ind w:firstLine="840" w:firstLineChars="3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单位印章</w:t>
            </w:r>
          </w:p>
          <w:p>
            <w:pPr>
              <w:widowControl/>
              <w:spacing w:line="360" w:lineRule="exact"/>
              <w:ind w:firstLine="420" w:firstLineChars="15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  月  日</w:t>
            </w: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注：1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本次培训内容及建筑口相关管理培训均可赴企业提供内训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;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欢迎与会代表携带相关资料和案例赴会与专家进行交流。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default" w:ascii="仿宋_GB2312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3.联系人：张旭               电 话：18211166904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3" w:firstLineChars="300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传  真：010-58872916       邮 箱：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instrText xml:space="preserve"> HYPERLINK "mailto:459907173@qq.com" </w:instrTex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2846141911@qq.com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fldChar w:fldCharType="end"/>
      </w:r>
    </w:p>
    <w:sectPr>
      <w:footerReference r:id="rId3" w:type="default"/>
      <w:footerReference r:id="rId4" w:type="even"/>
      <w:pgSz w:w="11906" w:h="16838"/>
      <w:pgMar w:top="1134" w:right="1463" w:bottom="1134" w:left="1463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894" w:y="226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F07BE"/>
    <w:multiLevelType w:val="singleLevel"/>
    <w:tmpl w:val="10AF07B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7E01D5"/>
    <w:multiLevelType w:val="multilevel"/>
    <w:tmpl w:val="297E01D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5D"/>
    <w:rsid w:val="00001F6A"/>
    <w:rsid w:val="0001041B"/>
    <w:rsid w:val="00015A97"/>
    <w:rsid w:val="00054606"/>
    <w:rsid w:val="000729AF"/>
    <w:rsid w:val="00083A04"/>
    <w:rsid w:val="000B00CA"/>
    <w:rsid w:val="000C698C"/>
    <w:rsid w:val="000E2AE5"/>
    <w:rsid w:val="00110D5F"/>
    <w:rsid w:val="00164852"/>
    <w:rsid w:val="001778CB"/>
    <w:rsid w:val="001D5E90"/>
    <w:rsid w:val="00264608"/>
    <w:rsid w:val="002A010A"/>
    <w:rsid w:val="002D40D1"/>
    <w:rsid w:val="00377EF8"/>
    <w:rsid w:val="0038443E"/>
    <w:rsid w:val="003F3310"/>
    <w:rsid w:val="00400E24"/>
    <w:rsid w:val="004B4957"/>
    <w:rsid w:val="004E0506"/>
    <w:rsid w:val="00561A5D"/>
    <w:rsid w:val="005A4418"/>
    <w:rsid w:val="005B563D"/>
    <w:rsid w:val="005C6610"/>
    <w:rsid w:val="00646C59"/>
    <w:rsid w:val="006A5EDC"/>
    <w:rsid w:val="00705FCE"/>
    <w:rsid w:val="007123DD"/>
    <w:rsid w:val="00715143"/>
    <w:rsid w:val="007213A8"/>
    <w:rsid w:val="007E56C8"/>
    <w:rsid w:val="0080304D"/>
    <w:rsid w:val="00824BF9"/>
    <w:rsid w:val="008676A2"/>
    <w:rsid w:val="0087665B"/>
    <w:rsid w:val="00876B28"/>
    <w:rsid w:val="00886AC6"/>
    <w:rsid w:val="008A0314"/>
    <w:rsid w:val="008C7C69"/>
    <w:rsid w:val="008F35FB"/>
    <w:rsid w:val="0097588A"/>
    <w:rsid w:val="009E7E1D"/>
    <w:rsid w:val="00A958CE"/>
    <w:rsid w:val="00B052E1"/>
    <w:rsid w:val="00B62999"/>
    <w:rsid w:val="00B644B0"/>
    <w:rsid w:val="00B77E93"/>
    <w:rsid w:val="00BA6A03"/>
    <w:rsid w:val="00C65B66"/>
    <w:rsid w:val="00CA31CE"/>
    <w:rsid w:val="00CA4B35"/>
    <w:rsid w:val="00D04E8E"/>
    <w:rsid w:val="00D91232"/>
    <w:rsid w:val="00E5187D"/>
    <w:rsid w:val="00E60B81"/>
    <w:rsid w:val="00E63DD9"/>
    <w:rsid w:val="00F23E84"/>
    <w:rsid w:val="00F263AA"/>
    <w:rsid w:val="00F26C90"/>
    <w:rsid w:val="01AA75B9"/>
    <w:rsid w:val="01C43799"/>
    <w:rsid w:val="01F00AD3"/>
    <w:rsid w:val="032827D5"/>
    <w:rsid w:val="03443858"/>
    <w:rsid w:val="0349622F"/>
    <w:rsid w:val="03661A34"/>
    <w:rsid w:val="03930F87"/>
    <w:rsid w:val="03D14453"/>
    <w:rsid w:val="043D6E93"/>
    <w:rsid w:val="044F2054"/>
    <w:rsid w:val="046D1BAD"/>
    <w:rsid w:val="04727DF3"/>
    <w:rsid w:val="047D6ADD"/>
    <w:rsid w:val="04EF2250"/>
    <w:rsid w:val="05466142"/>
    <w:rsid w:val="05A709C2"/>
    <w:rsid w:val="05BA6AD7"/>
    <w:rsid w:val="05DF688A"/>
    <w:rsid w:val="05F7291D"/>
    <w:rsid w:val="06074814"/>
    <w:rsid w:val="063B1EC7"/>
    <w:rsid w:val="06B04322"/>
    <w:rsid w:val="073A63BF"/>
    <w:rsid w:val="074B191F"/>
    <w:rsid w:val="077E2B49"/>
    <w:rsid w:val="08B228B3"/>
    <w:rsid w:val="090C3CEE"/>
    <w:rsid w:val="094E3A7D"/>
    <w:rsid w:val="09A22609"/>
    <w:rsid w:val="09AD5C1D"/>
    <w:rsid w:val="0B4A102C"/>
    <w:rsid w:val="0B5806CB"/>
    <w:rsid w:val="0C5870BA"/>
    <w:rsid w:val="0CE35749"/>
    <w:rsid w:val="0E4A586F"/>
    <w:rsid w:val="102767A1"/>
    <w:rsid w:val="10494F42"/>
    <w:rsid w:val="115A49B1"/>
    <w:rsid w:val="115D312E"/>
    <w:rsid w:val="11CE0840"/>
    <w:rsid w:val="121623CD"/>
    <w:rsid w:val="12322E4A"/>
    <w:rsid w:val="134F3BF3"/>
    <w:rsid w:val="139545FB"/>
    <w:rsid w:val="13A22600"/>
    <w:rsid w:val="13D81034"/>
    <w:rsid w:val="146506FE"/>
    <w:rsid w:val="14FB3A3B"/>
    <w:rsid w:val="150837ED"/>
    <w:rsid w:val="156664CF"/>
    <w:rsid w:val="157553AE"/>
    <w:rsid w:val="159B61D8"/>
    <w:rsid w:val="15B23194"/>
    <w:rsid w:val="15C66620"/>
    <w:rsid w:val="16714A4C"/>
    <w:rsid w:val="16DB01F4"/>
    <w:rsid w:val="16DF1A6A"/>
    <w:rsid w:val="16E053BF"/>
    <w:rsid w:val="175971D6"/>
    <w:rsid w:val="183B7A43"/>
    <w:rsid w:val="1A4D6496"/>
    <w:rsid w:val="1A8565F6"/>
    <w:rsid w:val="1A8B4739"/>
    <w:rsid w:val="1A8D109D"/>
    <w:rsid w:val="1A9E5FD2"/>
    <w:rsid w:val="1B5C3986"/>
    <w:rsid w:val="1C7A582F"/>
    <w:rsid w:val="1CC55FD4"/>
    <w:rsid w:val="1D0065B7"/>
    <w:rsid w:val="1E7D03A4"/>
    <w:rsid w:val="1E897EB4"/>
    <w:rsid w:val="1EC83C0C"/>
    <w:rsid w:val="1F68595A"/>
    <w:rsid w:val="1FD0648E"/>
    <w:rsid w:val="1FDC0533"/>
    <w:rsid w:val="1FFE0CE2"/>
    <w:rsid w:val="201573DC"/>
    <w:rsid w:val="202066E5"/>
    <w:rsid w:val="206C3D1F"/>
    <w:rsid w:val="2132575F"/>
    <w:rsid w:val="21792DE3"/>
    <w:rsid w:val="24BB6EFA"/>
    <w:rsid w:val="24F4060D"/>
    <w:rsid w:val="2517088E"/>
    <w:rsid w:val="255D6232"/>
    <w:rsid w:val="256C4D8A"/>
    <w:rsid w:val="260D4C55"/>
    <w:rsid w:val="261C4560"/>
    <w:rsid w:val="265C31CA"/>
    <w:rsid w:val="26EE7763"/>
    <w:rsid w:val="27260E0D"/>
    <w:rsid w:val="273A72C8"/>
    <w:rsid w:val="276B2619"/>
    <w:rsid w:val="288A6DB6"/>
    <w:rsid w:val="28926E6E"/>
    <w:rsid w:val="28F3436E"/>
    <w:rsid w:val="28F47D1A"/>
    <w:rsid w:val="2A3454D1"/>
    <w:rsid w:val="2A4306E5"/>
    <w:rsid w:val="2A63343B"/>
    <w:rsid w:val="2A9E45E1"/>
    <w:rsid w:val="2AFA7A67"/>
    <w:rsid w:val="2C0E52E3"/>
    <w:rsid w:val="2D4B39F6"/>
    <w:rsid w:val="2D6C7762"/>
    <w:rsid w:val="2DA44690"/>
    <w:rsid w:val="2E65251B"/>
    <w:rsid w:val="2ED50115"/>
    <w:rsid w:val="2F0C1322"/>
    <w:rsid w:val="2FC97CA3"/>
    <w:rsid w:val="2FCF71DA"/>
    <w:rsid w:val="2FEF7F60"/>
    <w:rsid w:val="30750C14"/>
    <w:rsid w:val="315F4E7E"/>
    <w:rsid w:val="31D90154"/>
    <w:rsid w:val="32800034"/>
    <w:rsid w:val="3294317E"/>
    <w:rsid w:val="33E67E90"/>
    <w:rsid w:val="349031D9"/>
    <w:rsid w:val="353E3A38"/>
    <w:rsid w:val="359F3257"/>
    <w:rsid w:val="35A345F6"/>
    <w:rsid w:val="35EC0AFB"/>
    <w:rsid w:val="36113918"/>
    <w:rsid w:val="36184CE9"/>
    <w:rsid w:val="369D4DD8"/>
    <w:rsid w:val="36A10F0A"/>
    <w:rsid w:val="36B5415A"/>
    <w:rsid w:val="36EF2CCC"/>
    <w:rsid w:val="37316EC3"/>
    <w:rsid w:val="37675DC5"/>
    <w:rsid w:val="37831DAB"/>
    <w:rsid w:val="381722E3"/>
    <w:rsid w:val="38FC7A5B"/>
    <w:rsid w:val="39837C09"/>
    <w:rsid w:val="39A32C9E"/>
    <w:rsid w:val="39C971FF"/>
    <w:rsid w:val="39EA72C5"/>
    <w:rsid w:val="3A426FF8"/>
    <w:rsid w:val="3A862919"/>
    <w:rsid w:val="3A9521A2"/>
    <w:rsid w:val="3AA70B9C"/>
    <w:rsid w:val="3AD366D9"/>
    <w:rsid w:val="3AEF323B"/>
    <w:rsid w:val="3BD0005E"/>
    <w:rsid w:val="3C21082F"/>
    <w:rsid w:val="3D3F33F8"/>
    <w:rsid w:val="3D4D54D1"/>
    <w:rsid w:val="3D8C1AA8"/>
    <w:rsid w:val="3DCD34C6"/>
    <w:rsid w:val="3E740034"/>
    <w:rsid w:val="3ECB6107"/>
    <w:rsid w:val="3EE700E0"/>
    <w:rsid w:val="3EF13AB3"/>
    <w:rsid w:val="3F927F8D"/>
    <w:rsid w:val="3F930273"/>
    <w:rsid w:val="3FA61B7B"/>
    <w:rsid w:val="402672ED"/>
    <w:rsid w:val="40397E39"/>
    <w:rsid w:val="40CE3BE3"/>
    <w:rsid w:val="410D5886"/>
    <w:rsid w:val="410E5D69"/>
    <w:rsid w:val="414D6DBF"/>
    <w:rsid w:val="421B5F47"/>
    <w:rsid w:val="425602D0"/>
    <w:rsid w:val="43152607"/>
    <w:rsid w:val="43E91E8F"/>
    <w:rsid w:val="444D69CD"/>
    <w:rsid w:val="450544E6"/>
    <w:rsid w:val="45683321"/>
    <w:rsid w:val="459D67BA"/>
    <w:rsid w:val="45D029AF"/>
    <w:rsid w:val="46950422"/>
    <w:rsid w:val="46E013EE"/>
    <w:rsid w:val="46E01C27"/>
    <w:rsid w:val="47772310"/>
    <w:rsid w:val="47825902"/>
    <w:rsid w:val="47CD24D7"/>
    <w:rsid w:val="47D46E80"/>
    <w:rsid w:val="48254D33"/>
    <w:rsid w:val="48B16564"/>
    <w:rsid w:val="48BB35CC"/>
    <w:rsid w:val="49455E4D"/>
    <w:rsid w:val="49600379"/>
    <w:rsid w:val="498D71B4"/>
    <w:rsid w:val="49F1105C"/>
    <w:rsid w:val="49FC2BDF"/>
    <w:rsid w:val="4A301467"/>
    <w:rsid w:val="4AF95488"/>
    <w:rsid w:val="4BB276C4"/>
    <w:rsid w:val="4C1F53C3"/>
    <w:rsid w:val="4CFB055D"/>
    <w:rsid w:val="4D2F0E24"/>
    <w:rsid w:val="4DA81DEE"/>
    <w:rsid w:val="4ED722BE"/>
    <w:rsid w:val="4EF15E6C"/>
    <w:rsid w:val="4F6D0506"/>
    <w:rsid w:val="4FA725CF"/>
    <w:rsid w:val="4FBD4804"/>
    <w:rsid w:val="4FD1706E"/>
    <w:rsid w:val="501E7EEA"/>
    <w:rsid w:val="50294C9A"/>
    <w:rsid w:val="50961125"/>
    <w:rsid w:val="51B77EDD"/>
    <w:rsid w:val="5240014C"/>
    <w:rsid w:val="527574C8"/>
    <w:rsid w:val="52AD5BDD"/>
    <w:rsid w:val="52BE5F00"/>
    <w:rsid w:val="52C60855"/>
    <w:rsid w:val="52E272C3"/>
    <w:rsid w:val="53434E3B"/>
    <w:rsid w:val="53463D95"/>
    <w:rsid w:val="53840D32"/>
    <w:rsid w:val="53EB5FD4"/>
    <w:rsid w:val="53F10E8F"/>
    <w:rsid w:val="540577DE"/>
    <w:rsid w:val="54396974"/>
    <w:rsid w:val="545B29C9"/>
    <w:rsid w:val="5488294C"/>
    <w:rsid w:val="54FD3EE7"/>
    <w:rsid w:val="556B5471"/>
    <w:rsid w:val="55E072CA"/>
    <w:rsid w:val="561D3B32"/>
    <w:rsid w:val="56EA5E46"/>
    <w:rsid w:val="58006282"/>
    <w:rsid w:val="58175A42"/>
    <w:rsid w:val="59B56DBD"/>
    <w:rsid w:val="59DD65B5"/>
    <w:rsid w:val="5ACD3D1A"/>
    <w:rsid w:val="5AF30447"/>
    <w:rsid w:val="5B190063"/>
    <w:rsid w:val="5C264444"/>
    <w:rsid w:val="5C3D5427"/>
    <w:rsid w:val="5D1D4153"/>
    <w:rsid w:val="5E7B0798"/>
    <w:rsid w:val="5E836A0F"/>
    <w:rsid w:val="5E9759BE"/>
    <w:rsid w:val="5EF848AF"/>
    <w:rsid w:val="5F710912"/>
    <w:rsid w:val="5FEC779D"/>
    <w:rsid w:val="60A46D6E"/>
    <w:rsid w:val="610B0EAC"/>
    <w:rsid w:val="61CD4305"/>
    <w:rsid w:val="62106E4D"/>
    <w:rsid w:val="62370CDE"/>
    <w:rsid w:val="6307434D"/>
    <w:rsid w:val="640423AC"/>
    <w:rsid w:val="64405216"/>
    <w:rsid w:val="658B4DD0"/>
    <w:rsid w:val="6599213E"/>
    <w:rsid w:val="65DF36F2"/>
    <w:rsid w:val="65FF27CF"/>
    <w:rsid w:val="66075225"/>
    <w:rsid w:val="661E622C"/>
    <w:rsid w:val="667B08B2"/>
    <w:rsid w:val="66936FDF"/>
    <w:rsid w:val="66F946B6"/>
    <w:rsid w:val="671B16EB"/>
    <w:rsid w:val="671D31E0"/>
    <w:rsid w:val="678413A9"/>
    <w:rsid w:val="678E63A3"/>
    <w:rsid w:val="67A1796C"/>
    <w:rsid w:val="68585B41"/>
    <w:rsid w:val="68F30FB4"/>
    <w:rsid w:val="698F2E7A"/>
    <w:rsid w:val="69A0522C"/>
    <w:rsid w:val="6B3339D4"/>
    <w:rsid w:val="6B8F46B3"/>
    <w:rsid w:val="6BB738E9"/>
    <w:rsid w:val="6C2A4DC8"/>
    <w:rsid w:val="6C83422A"/>
    <w:rsid w:val="6C842198"/>
    <w:rsid w:val="6CE721CA"/>
    <w:rsid w:val="6D220C7D"/>
    <w:rsid w:val="6D481EF9"/>
    <w:rsid w:val="6E0677B4"/>
    <w:rsid w:val="6E3403E0"/>
    <w:rsid w:val="6E7A07A4"/>
    <w:rsid w:val="6EE80276"/>
    <w:rsid w:val="6EFC4724"/>
    <w:rsid w:val="6F49360F"/>
    <w:rsid w:val="6F921F7B"/>
    <w:rsid w:val="70B631F9"/>
    <w:rsid w:val="710C3184"/>
    <w:rsid w:val="71477B3B"/>
    <w:rsid w:val="72007643"/>
    <w:rsid w:val="722328DD"/>
    <w:rsid w:val="723523FD"/>
    <w:rsid w:val="72CF05D8"/>
    <w:rsid w:val="72D01C9E"/>
    <w:rsid w:val="72F94E08"/>
    <w:rsid w:val="732A1CF1"/>
    <w:rsid w:val="7386199C"/>
    <w:rsid w:val="73EC7C26"/>
    <w:rsid w:val="73FA777F"/>
    <w:rsid w:val="74147B5B"/>
    <w:rsid w:val="75A91FBF"/>
    <w:rsid w:val="75E96273"/>
    <w:rsid w:val="75F54224"/>
    <w:rsid w:val="766F7FB5"/>
    <w:rsid w:val="76B914B7"/>
    <w:rsid w:val="76E66A66"/>
    <w:rsid w:val="76F81405"/>
    <w:rsid w:val="76FF45BD"/>
    <w:rsid w:val="773F1D39"/>
    <w:rsid w:val="77456938"/>
    <w:rsid w:val="77C30D24"/>
    <w:rsid w:val="78046BDE"/>
    <w:rsid w:val="78046E85"/>
    <w:rsid w:val="785A14DD"/>
    <w:rsid w:val="78846E9F"/>
    <w:rsid w:val="7887389E"/>
    <w:rsid w:val="78914A91"/>
    <w:rsid w:val="78A76CDD"/>
    <w:rsid w:val="78C533E3"/>
    <w:rsid w:val="792B1A28"/>
    <w:rsid w:val="79727DAC"/>
    <w:rsid w:val="79E35F6B"/>
    <w:rsid w:val="79EA286C"/>
    <w:rsid w:val="7A0D08EC"/>
    <w:rsid w:val="7A3D6593"/>
    <w:rsid w:val="7A6E724C"/>
    <w:rsid w:val="7A990D85"/>
    <w:rsid w:val="7AA4145F"/>
    <w:rsid w:val="7AA54102"/>
    <w:rsid w:val="7ABE4FD2"/>
    <w:rsid w:val="7B271311"/>
    <w:rsid w:val="7B9C7145"/>
    <w:rsid w:val="7BB165E1"/>
    <w:rsid w:val="7BC42E2C"/>
    <w:rsid w:val="7BD220D4"/>
    <w:rsid w:val="7C3D07FA"/>
    <w:rsid w:val="7C63743B"/>
    <w:rsid w:val="7C8D1726"/>
    <w:rsid w:val="7D7D3522"/>
    <w:rsid w:val="7D980A50"/>
    <w:rsid w:val="7E332C76"/>
    <w:rsid w:val="7F4837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hAnsi="Times New Roman" w:eastAsia="仿宋" w:cs="Times New Roman"/>
      <w:kern w:val="2"/>
      <w:sz w:val="24"/>
      <w:szCs w:val="24"/>
      <w:shd w:val="clear" w:color="auto" w:fill="auto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 Char Char Char Char 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14">
    <w:name w:val="列出段落1"/>
    <w:basedOn w:val="1"/>
    <w:qFormat/>
    <w:uiPriority w:val="34"/>
    <w:pPr>
      <w:spacing w:line="360" w:lineRule="auto"/>
      <w:ind w:firstLine="420" w:firstLineChars="200"/>
    </w:pPr>
  </w:style>
  <w:style w:type="character" w:customStyle="1" w:styleId="15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3171</Words>
  <Characters>3616</Characters>
  <Lines>22</Lines>
  <Paragraphs>6</Paragraphs>
  <TotalTime>2</TotalTime>
  <ScaleCrop>false</ScaleCrop>
  <LinksUpToDate>false</LinksUpToDate>
  <CharactersWithSpaces>3773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2021-12-21T03:20:00Z</dcterms:created>
  <dc:creator>59901</dc:creator>
  <cp:lastModifiedBy>59901</cp:lastModifiedBy>
  <cp:lastPrinted>2021-01-29T04:53:00Z</cp:lastPrinted>
  <dcterms:modified xsi:type="dcterms:W3CDTF">2022-04-13T07:00:09Z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9DA85313CB17478E9778FD160F1B251E</vt:lpwstr>
  </property>
</Properties>
</file>